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right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Załącznik nr 6 do ZW 121/2020</w:t>
      </w:r>
    </w:p>
    <w:tbl>
      <w:tblPr>
        <w:tblStyle w:val="Table1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  <w:t xml:space="preserve">WYDZIAŁ ZARZĄDZANIA </w:t>
            </w:r>
          </w:p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Style w:val="Heading2"/>
              <w:ind w:left="576" w:hanging="576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KARTA PRZEDMIOTU</w:t>
            </w:r>
          </w:p>
          <w:p w:rsidR="00000000" w:rsidDel="00000000" w:rsidP="00000000" w:rsidRDefault="00000000" w:rsidRPr="00000000" w14:paraId="00000005">
            <w:pPr>
              <w:pStyle w:val="Heading2"/>
              <w:numPr>
                <w:ilvl w:val="1"/>
                <w:numId w:val="1"/>
              </w:numPr>
              <w:ind w:left="576" w:hanging="576"/>
              <w:rPr/>
            </w:pPr>
            <w:r w:rsidDel="00000000" w:rsidR="00000000" w:rsidRPr="00000000">
              <w:rPr>
                <w:rtl w:val="0"/>
              </w:rPr>
              <w:t xml:space="preserve">Nazwa przedmiotu w języku polskim Negocjacje w biznesie</w:t>
            </w:r>
          </w:p>
          <w:p w:rsidR="00000000" w:rsidDel="00000000" w:rsidP="00000000" w:rsidRDefault="00000000" w:rsidRPr="00000000" w14:paraId="00000006">
            <w:pPr>
              <w:pStyle w:val="Heading2"/>
              <w:numPr>
                <w:ilvl w:val="1"/>
                <w:numId w:val="1"/>
              </w:numPr>
              <w:ind w:left="576" w:hanging="576"/>
              <w:rPr/>
            </w:pPr>
            <w:r w:rsidDel="00000000" w:rsidR="00000000" w:rsidRPr="00000000">
              <w:rPr>
                <w:rtl w:val="0"/>
              </w:rPr>
              <w:t xml:space="preserve">Nazwa przedmiotu w języku angielskim Negotiations in business</w:t>
            </w:r>
          </w:p>
          <w:p w:rsidR="00000000" w:rsidDel="00000000" w:rsidP="00000000" w:rsidRDefault="00000000" w:rsidRPr="00000000" w14:paraId="00000007">
            <w:pPr>
              <w:pStyle w:val="Heading2"/>
              <w:numPr>
                <w:ilvl w:val="1"/>
                <w:numId w:val="1"/>
              </w:numPr>
              <w:ind w:left="576" w:hanging="576"/>
              <w:rPr/>
            </w:pPr>
            <w:r w:rsidDel="00000000" w:rsidR="00000000" w:rsidRPr="00000000">
              <w:rPr>
                <w:rtl w:val="0"/>
              </w:rPr>
              <w:t xml:space="preserve">Kierunek studiów (jeśli dotyczy): Inżynieria Zarządzania   </w:t>
            </w:r>
          </w:p>
          <w:p w:rsidR="00000000" w:rsidDel="00000000" w:rsidP="00000000" w:rsidRDefault="00000000" w:rsidRPr="00000000" w14:paraId="00000008">
            <w:pPr>
              <w:pStyle w:val="Heading2"/>
              <w:numPr>
                <w:ilvl w:val="1"/>
                <w:numId w:val="1"/>
              </w:numPr>
              <w:ind w:left="576" w:hanging="576"/>
              <w:rPr/>
            </w:pPr>
            <w:r w:rsidDel="00000000" w:rsidR="00000000" w:rsidRPr="00000000">
              <w:rPr>
                <w:rtl w:val="0"/>
              </w:rPr>
              <w:t xml:space="preserve">Specjalność (jeśli dotyczy): Zarządzanie projektami</w:t>
            </w:r>
          </w:p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Poziom i forma studiów:</w:t>
              <w:tab/>
              <w:t xml:space="preserve">II stopień, stacjonarna                                         </w:t>
            </w:r>
          </w:p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Rodzaj przedmiotu:</w:t>
              <w:tab/>
              <w:tab/>
              <w:t xml:space="preserve">wybieralny</w:t>
            </w:r>
          </w:p>
          <w:p w:rsidR="00000000" w:rsidDel="00000000" w:rsidP="00000000" w:rsidRDefault="00000000" w:rsidRPr="00000000" w14:paraId="0000000B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Kod przedmiotu</w:t>
              <w:tab/>
              <w:tab/>
              <w:t xml:space="preserve">ZMZ2672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Grupa kursów                      NIE</w:t>
            </w:r>
          </w:p>
        </w:tc>
      </w:tr>
    </w:tbl>
    <w:p w:rsidR="00000000" w:rsidDel="00000000" w:rsidP="00000000" w:rsidRDefault="00000000" w:rsidRPr="00000000" w14:paraId="0000000D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16"/>
        <w:gridCol w:w="1116"/>
        <w:gridCol w:w="1257"/>
        <w:gridCol w:w="1426"/>
        <w:gridCol w:w="1241"/>
        <w:gridCol w:w="1304"/>
        <w:tblGridChange w:id="0">
          <w:tblGrid>
            <w:gridCol w:w="2716"/>
            <w:gridCol w:w="1116"/>
            <w:gridCol w:w="1257"/>
            <w:gridCol w:w="1426"/>
            <w:gridCol w:w="1241"/>
            <w:gridCol w:w="130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Wykład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Ćwiczenia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Laboratorium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zajęć zorganizowanych w Uczelni (ZZU)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całkowitego nakładu pracy studenta (CNPS)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60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Forma zaliczenia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zaliczenie na ocenę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Dla grupy kursów zaznaczyć kurs końcowy (X)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Liczba punktów ECTS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5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 charakterze praktycznym (P)</w:t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ECTS odpowiadająca zajęciom wymagającym bezpośredniego udziału nauczycieli lub innych osób prowadzących zajęcia  (BU)</w:t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1,4</w:t>
            </w:r>
          </w:p>
        </w:tc>
      </w:tr>
    </w:tbl>
    <w:p w:rsidR="00000000" w:rsidDel="00000000" w:rsidP="00000000" w:rsidRDefault="00000000" w:rsidRPr="00000000" w14:paraId="0000004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WYMAGANIA WSTĘPNE W ZAKRESIE WIEDZY, UMIEJĘTNOŚCI I KOMPETENCJI SPOŁECZNYCH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ind w:left="720" w:hanging="710"/>
              <w:rPr/>
            </w:pPr>
            <w:r w:rsidDel="00000000" w:rsidR="00000000" w:rsidRPr="00000000">
              <w:rPr>
                <w:rtl w:val="0"/>
              </w:rPr>
              <w:t xml:space="preserve">Podstawowa wiedza w zakresu komunikacji 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2"/>
              </w:numPr>
              <w:ind w:left="720" w:hanging="710"/>
              <w:rPr/>
            </w:pPr>
            <w:r w:rsidDel="00000000" w:rsidR="00000000" w:rsidRPr="00000000">
              <w:rPr>
                <w:rtl w:val="0"/>
              </w:rPr>
              <w:t xml:space="preserve">Umiejętność pracy grupowej oraz współdziałania </w:t>
            </w:r>
          </w:p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sz w:val="12"/>
          <w:szCs w:val="12"/>
        </w:rPr>
      </w:pPr>
      <w:r w:rsidDel="00000000" w:rsidR="00000000" w:rsidRPr="00000000">
        <w:rPr>
          <w:sz w:val="12"/>
          <w:szCs w:val="12"/>
          <w:rtl w:val="0"/>
        </w:rPr>
        <w:t xml:space="preserve">\</w:t>
      </w:r>
    </w:p>
    <w:tbl>
      <w:tblPr>
        <w:tblStyle w:val="Table4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0"/>
        <w:tblGridChange w:id="0">
          <w:tblGrid>
            <w:gridCol w:w="90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CELE PRZEDMIOTU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color w:val="000000"/>
                <w:sz w:val="23"/>
                <w:szCs w:val="23"/>
              </w:rPr>
            </w:pPr>
            <w:r w:rsidDel="00000000" w:rsidR="00000000" w:rsidRPr="00000000">
              <w:rPr>
                <w:color w:val="000000"/>
                <w:sz w:val="23"/>
                <w:szCs w:val="23"/>
                <w:rtl w:val="0"/>
              </w:rPr>
              <w:t xml:space="preserve">Głównym celem przedmiotu jest przekazanie wiedzy oraz informacji na temat negocjacji oraz komunikacji międzyludzkiej. Student po ukończeniu przedmiotu powinien rozumieć zasady kierujące procesem negocjacji, znać typy zachowań, umieć komunikować w różnych sytuacjach, a także będzie w stanie przyjąć aktywną, podmiotową rolę w udoskonalaniu swoich umiejętności.</w:t>
            </w:r>
          </w:p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Celem zajęć jest zapoznanie uczestnika z umiejętnościami negocjacyjnymi, jakie powinien posiadać menedżer oraz sposobami rozwiązywania sytuacji konfliktowych:</w:t>
            </w:r>
          </w:p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C1.Zdobycie wiedzy z zakresu efektywnej komunikacji oraz skutecznego podejmowania decyzji, </w:t>
            </w:r>
          </w:p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C2. Umiejętność prowadzenia negocjacji, właściwej argumentacji </w:t>
            </w:r>
          </w:p>
          <w:p w:rsidR="00000000" w:rsidDel="00000000" w:rsidP="00000000" w:rsidRDefault="00000000" w:rsidRPr="00000000" w14:paraId="000000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C3. Zdobycie wiedzy w zakresie generowania sposobów rozwiązywania konfiktów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center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4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pStyle w:val="Heading4"/>
              <w:keepNext w:val="0"/>
              <w:numPr>
                <w:ilvl w:val="3"/>
                <w:numId w:val="1"/>
              </w:numPr>
              <w:spacing w:after="20" w:before="60" w:lineRule="auto"/>
              <w:ind w:left="862" w:hanging="862"/>
              <w:rPr/>
            </w:pPr>
            <w:r w:rsidDel="00000000" w:rsidR="00000000" w:rsidRPr="00000000">
              <w:rPr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tabs>
                <w:tab w:val="left" w:pos="719"/>
              </w:tabs>
              <w:ind w:left="719" w:hanging="719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 zakresu wiedzy: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PEU_W01  Ma uporządkowaną wiedzę w zakresie umiejętności interpersonalnych oraz </w:t>
            </w:r>
            <w:r w:rsidDel="00000000" w:rsidR="00000000" w:rsidRPr="00000000">
              <w:rPr>
                <w:color w:val="000000"/>
                <w:rtl w:val="0"/>
              </w:rPr>
              <w:t xml:space="preserve">zasad obowiązujących podczas procesu negocjacji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PEU_W02  </w:t>
            </w:r>
            <w:r w:rsidDel="00000000" w:rsidR="00000000" w:rsidRPr="00000000">
              <w:rPr>
                <w:color w:val="000000"/>
                <w:rtl w:val="0"/>
              </w:rPr>
              <w:t xml:space="preserve">Zna techniki negocjacji </w:t>
            </w:r>
          </w:p>
          <w:p w:rsidR="00000000" w:rsidDel="00000000" w:rsidP="00000000" w:rsidRDefault="00000000" w:rsidRPr="00000000" w14:paraId="0000005C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PEU_W03 Rozumie narzędzia komunikacyjne wykorzystywane w procesie negocjacji</w:t>
            </w:r>
          </w:p>
          <w:p w:rsidR="00000000" w:rsidDel="00000000" w:rsidP="00000000" w:rsidRDefault="00000000" w:rsidRPr="00000000" w14:paraId="0000005D">
            <w:pPr>
              <w:tabs>
                <w:tab w:val="left" w:pos="719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tabs>
                <w:tab w:val="left" w:pos="719"/>
              </w:tabs>
              <w:ind w:left="719" w:hanging="719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 zakresu umiejętności:</w:t>
            </w:r>
          </w:p>
          <w:p w:rsidR="00000000" w:rsidDel="00000000" w:rsidP="00000000" w:rsidRDefault="00000000" w:rsidRPr="00000000" w14:paraId="0000005F">
            <w:pPr>
              <w:tabs>
                <w:tab w:val="left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PEU_U01 potrafi kierować zespołem negocjacyjnym</w:t>
            </w:r>
          </w:p>
          <w:p w:rsidR="00000000" w:rsidDel="00000000" w:rsidP="00000000" w:rsidRDefault="00000000" w:rsidRPr="00000000" w14:paraId="00000060">
            <w:pPr>
              <w:tabs>
                <w:tab w:val="left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PEU_U02 potrafi skutecznie negocjować</w:t>
            </w:r>
          </w:p>
          <w:p w:rsidR="00000000" w:rsidDel="00000000" w:rsidP="00000000" w:rsidRDefault="00000000" w:rsidRPr="00000000" w14:paraId="00000061">
            <w:pPr>
              <w:tabs>
                <w:tab w:val="left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PEU_U03 potrafi skutecznie komunikować swoje stanowisko oraz argumentować </w:t>
            </w:r>
          </w:p>
          <w:p w:rsidR="00000000" w:rsidDel="00000000" w:rsidP="00000000" w:rsidRDefault="00000000" w:rsidRPr="00000000" w14:paraId="00000062">
            <w:pPr>
              <w:tabs>
                <w:tab w:val="left" w:pos="719"/>
              </w:tabs>
              <w:ind w:left="719" w:hanging="719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 zakresu kompetencji społecznych:</w:t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PEU_K01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Jest przygotowany do zarządzania zespołem negocjacyjnym, oraz uczestnictwa w planowaniu i oraz prowadzeniu negocjacji oraz rozwiązywaniu sytuacji konfliktowych.</w:t>
            </w:r>
          </w:p>
          <w:p w:rsidR="00000000" w:rsidDel="00000000" w:rsidP="00000000" w:rsidRDefault="00000000" w:rsidRPr="00000000" w14:paraId="00000064">
            <w:pPr>
              <w:tabs>
                <w:tab w:val="left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3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spacing w:after="20" w:before="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TREŚCI PROGRAMOWE</w:t>
            </w:r>
          </w:p>
        </w:tc>
      </w:tr>
    </w:tbl>
    <w:p w:rsidR="00000000" w:rsidDel="00000000" w:rsidP="00000000" w:rsidRDefault="00000000" w:rsidRPr="00000000" w14:paraId="00000069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76"/>
        <w:gridCol w:w="7548"/>
        <w:gridCol w:w="736"/>
        <w:tblGridChange w:id="0">
          <w:tblGrid>
            <w:gridCol w:w="776"/>
            <w:gridCol w:w="7548"/>
            <w:gridCol w:w="736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A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Forma zajęć - seminarium</w:t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Liczba godzin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Se1-Se2</w:t>
            </w:r>
          </w:p>
        </w:tc>
        <w:tc>
          <w:tcPr/>
          <w:p w:rsidR="00000000" w:rsidDel="00000000" w:rsidP="00000000" w:rsidRDefault="00000000" w:rsidRPr="00000000" w14:paraId="0000006E">
            <w:pPr>
              <w:spacing w:line="276" w:lineRule="auto"/>
              <w:rPr>
                <w:rFonts w:ascii="Times" w:cs="Times" w:eastAsia="Times" w:hAnsi="Times"/>
              </w:rPr>
            </w:pPr>
            <w:r w:rsidDel="00000000" w:rsidR="00000000" w:rsidRPr="00000000">
              <w:rPr>
                <w:rFonts w:ascii="Times" w:cs="Times" w:eastAsia="Times" w:hAnsi="Times"/>
                <w:rtl w:val="0"/>
              </w:rPr>
              <w:t xml:space="preserve">Istota i rola negocjacji. Negocjacje a konflikt, Charakterystyka i składowe sytuacji negocjacyjnych. Strony negocjacji, Rodzaje negocjacji, rodzaje porozumienia w negocjacjach. Sylwetka negocjatora a zespoł negocjacyjny. Studium przypadku.</w:t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Se3-Se4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spacing w:line="276" w:lineRule="auto"/>
              <w:rPr>
                <w:rFonts w:ascii="Times" w:cs="Times" w:eastAsia="Times" w:hAnsi="Times"/>
              </w:rPr>
            </w:pPr>
            <w:r w:rsidDel="00000000" w:rsidR="00000000" w:rsidRPr="00000000">
              <w:rPr>
                <w:rFonts w:ascii="Times" w:cs="Times" w:eastAsia="Times" w:hAnsi="Times"/>
                <w:rtl w:val="0"/>
              </w:rPr>
              <w:t xml:space="preserve">Przygotowanie negocjacji. Etapy negocjacji, zdefiniowanie kwestii negocjacyjnych, analiza drugiej strony, BATNA, Formułowanie związku w negocjacjach. Studium przypadku.</w:t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Se5-Se6</w:t>
            </w:r>
          </w:p>
        </w:tc>
        <w:tc>
          <w:tcPr/>
          <w:p w:rsidR="00000000" w:rsidDel="00000000" w:rsidP="00000000" w:rsidRDefault="00000000" w:rsidRPr="00000000" w14:paraId="00000074">
            <w:pPr>
              <w:spacing w:line="276" w:lineRule="auto"/>
              <w:rPr>
                <w:rFonts w:ascii="Times" w:cs="Times" w:eastAsia="Times" w:hAnsi="Times"/>
              </w:rPr>
            </w:pPr>
            <w:r w:rsidDel="00000000" w:rsidR="00000000" w:rsidRPr="00000000">
              <w:rPr>
                <w:rFonts w:ascii="Times" w:cs="Times" w:eastAsia="Times" w:hAnsi="Times"/>
                <w:rtl w:val="0"/>
              </w:rPr>
              <w:t xml:space="preserve">Negocjacje pozycyjne. Charakterystyka. Techniki, style i strategie negocjacyjne. Negocjacje budżetowe. Techniki wywierania wpływu społecznego oraz argumentacji.</w:t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Se7-Se8</w:t>
            </w:r>
          </w:p>
        </w:tc>
        <w:tc>
          <w:tcPr/>
          <w:p w:rsidR="00000000" w:rsidDel="00000000" w:rsidP="00000000" w:rsidRDefault="00000000" w:rsidRPr="00000000" w14:paraId="00000077">
            <w:pPr>
              <w:spacing w:line="276" w:lineRule="auto"/>
              <w:rPr>
                <w:rFonts w:ascii="Times" w:cs="Times" w:eastAsia="Times" w:hAnsi="Times"/>
              </w:rPr>
            </w:pPr>
            <w:r w:rsidDel="00000000" w:rsidR="00000000" w:rsidRPr="00000000">
              <w:rPr>
                <w:rFonts w:ascii="Times" w:cs="Times" w:eastAsia="Times" w:hAnsi="Times"/>
                <w:rtl w:val="0"/>
              </w:rPr>
              <w:t xml:space="preserve">Negocjacje intergacyjne. Właściwości negocjacji. Czynniki utrudniające osiągnięcie integracyjnego rozwiązania. Etapy negocjacji integracyjnych. Kompromis a konsensus. Problem i jego składowe. Negocjacje wielostronne. Studium przypadku.</w:t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Se9-se10</w:t>
            </w:r>
          </w:p>
        </w:tc>
        <w:tc>
          <w:tcPr/>
          <w:p w:rsidR="00000000" w:rsidDel="00000000" w:rsidP="00000000" w:rsidRDefault="00000000" w:rsidRPr="00000000" w14:paraId="0000007A">
            <w:pPr>
              <w:spacing w:line="276" w:lineRule="auto"/>
              <w:rPr>
                <w:rFonts w:ascii="Times" w:cs="Times" w:eastAsia="Times" w:hAnsi="Times"/>
              </w:rPr>
            </w:pPr>
            <w:r w:rsidDel="00000000" w:rsidR="00000000" w:rsidRPr="00000000">
              <w:rPr>
                <w:rFonts w:ascii="Times" w:cs="Times" w:eastAsia="Times" w:hAnsi="Times"/>
                <w:rtl w:val="0"/>
              </w:rPr>
              <w:t xml:space="preserve">Zespół i komunikacja w negocjacjach. Zespół negocjacyjny (skład, role strategia). Komunikacja werbalna i niewerbalna. Zasady poprawnego komunikowania się. Studium przypadku</w:t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Se11-Se12</w:t>
            </w:r>
          </w:p>
        </w:tc>
        <w:tc>
          <w:tcPr/>
          <w:p w:rsidR="00000000" w:rsidDel="00000000" w:rsidP="00000000" w:rsidRDefault="00000000" w:rsidRPr="00000000" w14:paraId="0000007D">
            <w:pPr>
              <w:spacing w:line="276" w:lineRule="auto"/>
              <w:rPr>
                <w:rFonts w:ascii="Times" w:cs="Times" w:eastAsia="Times" w:hAnsi="Times"/>
              </w:rPr>
            </w:pPr>
            <w:r w:rsidDel="00000000" w:rsidR="00000000" w:rsidRPr="00000000">
              <w:rPr>
                <w:rFonts w:ascii="Times" w:cs="Times" w:eastAsia="Times" w:hAnsi="Times"/>
                <w:rtl w:val="0"/>
              </w:rPr>
              <w:t xml:space="preserve">Błędy menedżerów popełniane w trakcie negocjacji. Błędy na etapie przygotowania negocjacji. Błędy na etapie prowadzenia negocjacji. </w:t>
            </w:r>
          </w:p>
          <w:p w:rsidR="00000000" w:rsidDel="00000000" w:rsidP="00000000" w:rsidRDefault="00000000" w:rsidRPr="00000000" w14:paraId="0000007E">
            <w:pPr>
              <w:spacing w:line="276" w:lineRule="auto"/>
              <w:rPr>
                <w:rFonts w:ascii="Times" w:cs="Times" w:eastAsia="Times" w:hAnsi="Times"/>
              </w:rPr>
            </w:pPr>
            <w:r w:rsidDel="00000000" w:rsidR="00000000" w:rsidRPr="00000000">
              <w:rPr>
                <w:rFonts w:ascii="Times" w:cs="Times" w:eastAsia="Times" w:hAnsi="Times"/>
                <w:rtl w:val="0"/>
              </w:rPr>
              <w:t xml:space="preserve">Analiza przypadków. </w:t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Se13-Se14</w:t>
            </w:r>
          </w:p>
        </w:tc>
        <w:tc>
          <w:tcPr/>
          <w:p w:rsidR="00000000" w:rsidDel="00000000" w:rsidP="00000000" w:rsidRDefault="00000000" w:rsidRPr="00000000" w14:paraId="00000081">
            <w:pPr>
              <w:spacing w:line="276" w:lineRule="auto"/>
              <w:rPr>
                <w:rFonts w:ascii="Times" w:cs="Times" w:eastAsia="Times" w:hAnsi="Times"/>
              </w:rPr>
            </w:pPr>
            <w:r w:rsidDel="00000000" w:rsidR="00000000" w:rsidRPr="00000000">
              <w:rPr>
                <w:rFonts w:ascii="Times" w:cs="Times" w:eastAsia="Times" w:hAnsi="Times"/>
                <w:rtl w:val="0"/>
              </w:rPr>
              <w:t xml:space="preserve">Sposoby rozwiązywania konfliktów. Techniki generowania rozwiązań (klasyczne, przedefiniowanie problemu). menedżerski. Rola mediacji w negocjacjach. Studium przypadku -kontrakt.</w:t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Se15</w:t>
            </w:r>
          </w:p>
        </w:tc>
        <w:tc>
          <w:tcPr/>
          <w:p w:rsidR="00000000" w:rsidDel="00000000" w:rsidP="00000000" w:rsidRDefault="00000000" w:rsidRPr="00000000" w14:paraId="00000084">
            <w:pPr>
              <w:spacing w:line="276" w:lineRule="auto"/>
              <w:rPr>
                <w:rFonts w:ascii="Times" w:cs="Times" w:eastAsia="Times" w:hAnsi="Times"/>
              </w:rPr>
            </w:pPr>
            <w:r w:rsidDel="00000000" w:rsidR="00000000" w:rsidRPr="00000000">
              <w:rPr>
                <w:rFonts w:ascii="Times" w:cs="Times" w:eastAsia="Times" w:hAnsi="Times"/>
                <w:rtl w:val="0"/>
              </w:rPr>
              <w:t xml:space="preserve">Podsumowanie zajęć. Zaliczenie.  Omówienie wyników. Dyskusja.</w:t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spacing w:line="276" w:lineRule="auto"/>
              <w:rPr>
                <w:rFonts w:ascii="Times" w:cs="Times" w:eastAsia="Times" w:hAnsi="Times"/>
              </w:rPr>
            </w:pPr>
            <w:r w:rsidDel="00000000" w:rsidR="00000000" w:rsidRPr="00000000">
              <w:rPr>
                <w:rFonts w:ascii="Times" w:cs="Times" w:eastAsia="Times" w:hAnsi="Times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30</w:t>
            </w:r>
          </w:p>
        </w:tc>
      </w:tr>
    </w:tbl>
    <w:p w:rsidR="00000000" w:rsidDel="00000000" w:rsidP="00000000" w:rsidRDefault="00000000" w:rsidRPr="00000000" w14:paraId="00000089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1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pStyle w:val="Heading3"/>
              <w:numPr>
                <w:ilvl w:val="2"/>
                <w:numId w:val="1"/>
              </w:numPr>
              <w:spacing w:after="20" w:before="6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 STOSOWANE NARZĘDZIA DYDAKTYCZNE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N1.Studia przypadków negocjacyjnych</w:t>
            </w:r>
          </w:p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N2. Dyskusja z uczestnikami</w:t>
            </w:r>
          </w:p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N3.Praca własna oraz grupowa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OCENA OSIĄGNIĘCIA PRZEDMIOTOWYCH EFEKTÓW UCZENIA SIĘ</w:t>
      </w:r>
    </w:p>
    <w:p w:rsidR="00000000" w:rsidDel="00000000" w:rsidP="00000000" w:rsidRDefault="00000000" w:rsidRPr="00000000" w14:paraId="00000092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7"/>
        <w:gridCol w:w="2074"/>
        <w:gridCol w:w="4499"/>
        <w:tblGridChange w:id="0">
          <w:tblGrid>
            <w:gridCol w:w="2487"/>
            <w:gridCol w:w="2074"/>
            <w:gridCol w:w="44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Oceny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formująca (w trakcie semestru), P – podsumowująca (na koniec semestru)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Numer efektu uczenia się</w:t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Sposób oceny osiągnięcia efektu uczenia się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F1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9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PEK_U01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PEK_U02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PEK_U03</w:t>
            </w:r>
          </w:p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PEU_W01  </w:t>
            </w:r>
          </w:p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PEU_W02  </w:t>
            </w:r>
          </w:p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PEU_W03 </w:t>
            </w:r>
          </w:p>
          <w:p w:rsidR="00000000" w:rsidDel="00000000" w:rsidP="00000000" w:rsidRDefault="00000000" w:rsidRPr="00000000" w14:paraId="0000009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PEU_K01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Studium przypadku, aktywność w dyskusji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F2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Studium przypadku, aktywność w dyskusji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F3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Studium przypadku, aktywność w zespole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A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P= 33,33% F1+33,33%F2+33,33%F3</w:t>
            </w:r>
          </w:p>
        </w:tc>
      </w:tr>
    </w:tbl>
    <w:p w:rsidR="00000000" w:rsidDel="00000000" w:rsidP="00000000" w:rsidRDefault="00000000" w:rsidRPr="00000000" w14:paraId="000000A8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A">
            <w:pPr>
              <w:keepNext w:val="1"/>
              <w:spacing w:after="40" w:before="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LITERATURA PODSTAWOWA I UZUPEŁNIAJĄCA</w:t>
            </w:r>
          </w:p>
        </w:tc>
      </w:tr>
      <w:tr>
        <w:trPr>
          <w:cantSplit w:val="0"/>
          <w:trHeight w:val="38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spacing w:after="6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[1] Carre, C. (2008). Sztuka rozwiązywania konfliktów. Katowice: VIDEOGRAF II</w:t>
            </w:r>
          </w:p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[2] Fowler,A. (2001). Jak skutecznie negocjować. , Warszawa: Wydawnictwo Petit </w:t>
            </w:r>
          </w:p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[3] Kałążna-Drewińska, U. (2006). Negocjacje w biznesie. Kluczowe problemy. Wrocław: Wydawnictwo Akademii Ekonomicznej we Wrocławiu</w:t>
            </w:r>
          </w:p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[4] Kamiński, J., (2003).  Negocjowanie. Techniki rozwiązywania konfliktów. Warszawa: Poltext</w:t>
            </w:r>
          </w:p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[5] Kamiński, J.,(2006). Negocjacje w działalności marketingowej przedsiębiorstw. Białystok: Wydawnictwo Uniwersytetu w Białymstoku</w:t>
            </w:r>
          </w:p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[6]Lewicki, R.J., (2005). Zasady negocjacji : kompendium wiedzy dla trenerów i menedżerów. Poznań: REBIS.</w:t>
            </w:r>
          </w:p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[7] Watkins, M. (2005).  Sztuka negocjacji w biznesie. Gliwice: Wydawnictwo HELION</w:t>
            </w:r>
          </w:p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pacing w:after="6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LITERATURA UZUPEŁNIAJĄCA:</w:t>
            </w:r>
          </w:p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[1] Dobek–Ostrowska,B.,(2007).Podstawy komunikowania społecznego. Wrocław:  Wydawnictwo ASTRUM</w:t>
            </w:r>
          </w:p>
          <w:p w:rsidR="00000000" w:rsidDel="00000000" w:rsidP="00000000" w:rsidRDefault="00000000" w:rsidRPr="00000000" w14:paraId="000000B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[2] Doliński, D. (2005). Techniki wpływu społecznego. Warszawa: Scholar.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[3] Fisher, R., Shapiro, D. (2009). Emocje w negocjacjach. Warszawa: Jacek Santorski &amp; Co Agencja Wydawnicza</w:t>
            </w:r>
          </w:p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OPIEKUN PRZEDMIOTU (IMIĘ, NAZWISKO, ADRES E-MAIL)</w:t>
            </w:r>
          </w:p>
        </w:tc>
      </w:tr>
      <w:tr>
        <w:trPr>
          <w:cantSplit w:val="0"/>
          <w:trHeight w:val="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ind w:left="3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Dr hab. inż. Radosław Ryńca, prof. Uczelni; radosław.rynca@pwr.edu.pl</w:t>
            </w:r>
          </w:p>
        </w:tc>
      </w:tr>
    </w:tbl>
    <w:p w:rsidR="00000000" w:rsidDel="00000000" w:rsidP="00000000" w:rsidRDefault="00000000" w:rsidRPr="00000000" w14:paraId="000000BC">
      <w:pPr>
        <w:pStyle w:val="Heading3"/>
        <w:jc w:val="left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135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432" w:hanging="432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ind w:left="576" w:hanging="576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720" w:hanging="720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ind w:left="864" w:hanging="864"/>
      <w:jc w:val="center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ind w:left="1008" w:hanging="1008"/>
    </w:pPr>
    <w:rPr>
      <w:b w:val="1"/>
      <w:sz w:val="18"/>
      <w:szCs w:val="18"/>
    </w:rPr>
  </w:style>
  <w:style w:type="paragraph" w:styleId="Heading6">
    <w:name w:val="heading 6"/>
    <w:basedOn w:val="Normal"/>
    <w:next w:val="Normal"/>
    <w:pPr>
      <w:keepNext w:val="1"/>
      <w:ind w:left="1152" w:hanging="1152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uppressAutoHyphens w:val="1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 w:val="1"/>
    <w:pPr>
      <w:keepNext w:val="1"/>
      <w:numPr>
        <w:numId w:val="1"/>
      </w:numPr>
      <w:outlineLvl w:val="0"/>
    </w:pPr>
    <w:rPr>
      <w:b w:val="1"/>
      <w:bCs w:val="1"/>
      <w:sz w:val="28"/>
    </w:rPr>
  </w:style>
  <w:style w:type="paragraph" w:styleId="Nagwek2">
    <w:name w:val="heading 2"/>
    <w:basedOn w:val="Normalny"/>
    <w:next w:val="Normalny"/>
    <w:qFormat w:val="1"/>
    <w:pPr>
      <w:keepNext w:val="1"/>
      <w:numPr>
        <w:ilvl w:val="1"/>
        <w:numId w:val="1"/>
      </w:numPr>
      <w:outlineLvl w:val="1"/>
    </w:pPr>
    <w:rPr>
      <w:b w:val="1"/>
      <w:bCs w:val="1"/>
    </w:rPr>
  </w:style>
  <w:style w:type="paragraph" w:styleId="Nagwek3">
    <w:name w:val="heading 3"/>
    <w:basedOn w:val="Normalny"/>
    <w:next w:val="Normalny"/>
    <w:qFormat w:val="1"/>
    <w:pPr>
      <w:keepNext w:val="1"/>
      <w:numPr>
        <w:ilvl w:val="2"/>
        <w:numId w:val="1"/>
      </w:numPr>
      <w:jc w:val="center"/>
      <w:outlineLvl w:val="2"/>
    </w:pPr>
    <w:rPr>
      <w:b w:val="1"/>
      <w:bCs w:val="1"/>
    </w:rPr>
  </w:style>
  <w:style w:type="paragraph" w:styleId="Nagwek4">
    <w:name w:val="heading 4"/>
    <w:basedOn w:val="Normalny"/>
    <w:next w:val="Normalny"/>
    <w:qFormat w:val="1"/>
    <w:pPr>
      <w:keepNext w:val="1"/>
      <w:numPr>
        <w:ilvl w:val="3"/>
        <w:numId w:val="1"/>
      </w:numPr>
      <w:jc w:val="center"/>
      <w:outlineLvl w:val="3"/>
    </w:pPr>
    <w:rPr>
      <w:b w:val="1"/>
      <w:bCs w:val="1"/>
      <w:sz w:val="22"/>
    </w:rPr>
  </w:style>
  <w:style w:type="paragraph" w:styleId="Nagwek5">
    <w:name w:val="heading 5"/>
    <w:basedOn w:val="Normalny"/>
    <w:next w:val="Normalny"/>
    <w:qFormat w:val="1"/>
    <w:pPr>
      <w:keepNext w:val="1"/>
      <w:numPr>
        <w:ilvl w:val="4"/>
        <w:numId w:val="1"/>
      </w:numPr>
      <w:outlineLvl w:val="4"/>
    </w:pPr>
    <w:rPr>
      <w:b w:val="1"/>
      <w:bCs w:val="1"/>
      <w:sz w:val="18"/>
    </w:rPr>
  </w:style>
  <w:style w:type="paragraph" w:styleId="Nagwek6">
    <w:name w:val="heading 6"/>
    <w:basedOn w:val="Normalny"/>
    <w:next w:val="Normalny"/>
    <w:qFormat w:val="1"/>
    <w:pPr>
      <w:keepNext w:val="1"/>
      <w:numPr>
        <w:ilvl w:val="5"/>
        <w:numId w:val="1"/>
      </w:numPr>
      <w:jc w:val="center"/>
      <w:outlineLvl w:val="5"/>
    </w:pPr>
    <w:rPr>
      <w:b w:val="1"/>
      <w:bCs w:val="1"/>
      <w:sz w:val="18"/>
    </w:rPr>
  </w:style>
  <w:style w:type="paragraph" w:styleId="Nagwek7">
    <w:name w:val="heading 7"/>
    <w:basedOn w:val="Normalny"/>
    <w:next w:val="Normalny"/>
    <w:qFormat w:val="1"/>
    <w:pPr>
      <w:keepNext w:val="1"/>
      <w:numPr>
        <w:ilvl w:val="6"/>
        <w:numId w:val="1"/>
      </w:numPr>
      <w:spacing w:after="60" w:before="60"/>
      <w:outlineLvl w:val="6"/>
    </w:pPr>
    <w:rPr>
      <w:rFonts w:ascii="Arial" w:cs="Arial" w:hAnsi="Arial"/>
      <w:b w:val="1"/>
      <w:bCs w:val="1"/>
      <w:caps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cs="Times New Roman" w:eastAsia="Times New Roman" w:hAnsi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Mangal"/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 w:val="1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 w:val="1"/>
      <w:bCs w:val="1"/>
    </w:rPr>
  </w:style>
  <w:style w:type="character" w:styleId="TematkomentarzaZnak" w:customStyle="1">
    <w:name w:val="Temat komentarza Znak"/>
    <w:link w:val="Tematkomentarza"/>
    <w:rsid w:val="00182C94"/>
    <w:rPr>
      <w:b w:val="1"/>
      <w:bCs w:val="1"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cs="Tahoma" w:hAnsi="Tahoma"/>
      <w:sz w:val="16"/>
      <w:szCs w:val="16"/>
      <w:lang w:eastAsia="ar-SA"/>
    </w:rPr>
  </w:style>
  <w:style w:type="paragraph" w:styleId="Spistreci2">
    <w:name w:val="toc 2"/>
    <w:basedOn w:val="Normalny"/>
    <w:next w:val="Normalny"/>
    <w:autoRedefine w:val="1"/>
    <w:uiPriority w:val="39"/>
    <w:unhideWhenUsed w:val="1"/>
    <w:qFormat w:val="1"/>
    <w:rsid w:val="00A76AE6"/>
    <w:pPr>
      <w:tabs>
        <w:tab w:val="right" w:leader="dot" w:pos="9062"/>
      </w:tabs>
      <w:suppressAutoHyphens w:val="0"/>
      <w:spacing w:before="240" w:line="276" w:lineRule="auto"/>
    </w:pPr>
    <w:rPr>
      <w:rFonts w:cstheme="minorBidi" w:eastAsiaTheme="minorHAnsi"/>
      <w:b w:val="1"/>
      <w:bCs w:val="1"/>
      <w:sz w:val="20"/>
      <w:szCs w:val="20"/>
      <w:lang w:eastAsia="en-US"/>
    </w:rPr>
  </w:style>
  <w:style w:type="paragraph" w:styleId="Spistreci3">
    <w:name w:val="toc 3"/>
    <w:basedOn w:val="Normalny"/>
    <w:next w:val="Normalny"/>
    <w:autoRedefine w:val="1"/>
    <w:uiPriority w:val="39"/>
    <w:unhideWhenUsed w:val="1"/>
    <w:qFormat w:val="1"/>
    <w:rsid w:val="009F6C04"/>
    <w:pPr>
      <w:suppressAutoHyphens w:val="0"/>
      <w:spacing w:line="360" w:lineRule="auto"/>
      <w:ind w:left="220"/>
    </w:pPr>
    <w:rPr>
      <w:rFonts w:cstheme="minorBidi" w:eastAsiaTheme="minorHAnsi"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DE07F9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TNvuR20AhmG/wJyXUqUn4oGu9Q==">AMUW2mXQdzj81eQUPtpwGglJxgHVd2HHdWfEzOE+d21q6Q+9Q0kc6gQlRlDpAazqHvvGpiO3xy++HrjC1frYcXfn+QoYCgnF8MPSj5aCB15R9O0i29rjpCy5XXmBRIFZ+mJDeGKAdLUk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2021-10-12T12:44:00Z</dcterms:created>
  <dc:creator>Hanna Helman</dc:creator>
</cp:coreProperties>
</file>